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76" w:type="dxa"/>
        <w:tblLook w:val="04A0" w:firstRow="1" w:lastRow="0" w:firstColumn="1" w:lastColumn="0" w:noHBand="0" w:noVBand="1"/>
      </w:tblPr>
      <w:tblGrid>
        <w:gridCol w:w="10176"/>
      </w:tblGrid>
      <w:tr w:rsidR="008517EA" w:rsidRPr="00D808BE" w:rsidTr="00EC585B">
        <w:trPr>
          <w:trHeight w:val="300"/>
        </w:trPr>
        <w:tc>
          <w:tcPr>
            <w:tcW w:w="10176" w:type="dxa"/>
            <w:tcBorders>
              <w:top w:val="nil"/>
              <w:left w:val="nil"/>
              <w:bottom w:val="nil"/>
              <w:right w:val="nil"/>
            </w:tcBorders>
            <w:shd w:val="clear" w:color="auto" w:fill="auto"/>
            <w:noWrap/>
            <w:vAlign w:val="bottom"/>
          </w:tcPr>
          <w:p w:rsidR="008517EA" w:rsidRPr="00D808BE" w:rsidRDefault="008517EA" w:rsidP="00EC585B">
            <w:pPr>
              <w:spacing w:after="0" w:line="240" w:lineRule="auto"/>
              <w:jc w:val="both"/>
              <w:rPr>
                <w:rFonts w:ascii="Times New Roman" w:eastAsia="Times New Roman" w:hAnsi="Times New Roman" w:cs="Times New Roman"/>
                <w:b/>
                <w:bCs/>
                <w:color w:val="000000"/>
                <w:sz w:val="24"/>
                <w:szCs w:val="24"/>
                <w:lang w:eastAsia="ro-RO"/>
              </w:rPr>
            </w:pPr>
          </w:p>
        </w:tc>
      </w:tr>
      <w:tr w:rsidR="008517EA" w:rsidRPr="00D808BE" w:rsidTr="008517EA">
        <w:trPr>
          <w:trHeight w:val="255"/>
        </w:trPr>
        <w:tc>
          <w:tcPr>
            <w:tcW w:w="10176" w:type="dxa"/>
            <w:tcBorders>
              <w:top w:val="nil"/>
              <w:left w:val="nil"/>
              <w:bottom w:val="nil"/>
              <w:right w:val="nil"/>
            </w:tcBorders>
            <w:shd w:val="clear" w:color="auto" w:fill="auto"/>
            <w:noWrap/>
            <w:vAlign w:val="bottom"/>
            <w:hideMark/>
          </w:tcPr>
          <w:p w:rsidR="00EC585B" w:rsidRDefault="00EC585B" w:rsidP="00D808BE">
            <w:pPr>
              <w:spacing w:after="0" w:line="240" w:lineRule="auto"/>
              <w:jc w:val="both"/>
              <w:rPr>
                <w:rFonts w:ascii="Times New Roman" w:eastAsia="Times New Roman" w:hAnsi="Times New Roman" w:cs="Times New Roman"/>
                <w:b/>
                <w:bCs/>
                <w:color w:val="000000"/>
                <w:sz w:val="24"/>
                <w:szCs w:val="24"/>
                <w:lang w:eastAsia="ro-RO"/>
              </w:rPr>
            </w:pPr>
            <w:r>
              <w:rPr>
                <w:rFonts w:ascii="Times New Roman" w:eastAsia="Times New Roman" w:hAnsi="Times New Roman" w:cs="Times New Roman"/>
                <w:b/>
                <w:bCs/>
                <w:color w:val="000000"/>
                <w:sz w:val="24"/>
                <w:szCs w:val="24"/>
                <w:lang w:eastAsia="ro-RO"/>
              </w:rPr>
              <w:t xml:space="preserve">Anexa 8 la Procedură </w:t>
            </w:r>
          </w:p>
          <w:p w:rsidR="008517EA" w:rsidRPr="00D808BE" w:rsidRDefault="008517EA" w:rsidP="00D808BE">
            <w:pPr>
              <w:spacing w:after="0" w:line="240" w:lineRule="auto"/>
              <w:jc w:val="both"/>
              <w:rPr>
                <w:rFonts w:ascii="Times New Roman" w:eastAsia="Times New Roman" w:hAnsi="Times New Roman" w:cs="Times New Roman"/>
                <w:b/>
                <w:bCs/>
                <w:color w:val="000000"/>
                <w:sz w:val="24"/>
                <w:szCs w:val="24"/>
                <w:lang w:eastAsia="ro-RO"/>
              </w:rPr>
            </w:pPr>
            <w:r w:rsidRPr="00D808BE">
              <w:rPr>
                <w:rFonts w:ascii="Times New Roman" w:eastAsia="Times New Roman" w:hAnsi="Times New Roman" w:cs="Times New Roman"/>
                <w:b/>
                <w:bCs/>
                <w:color w:val="000000"/>
                <w:sz w:val="24"/>
                <w:szCs w:val="24"/>
                <w:lang w:eastAsia="ro-RO"/>
              </w:rPr>
              <w:t>Metoda pentru calculul de eficienta a lucrarilor de investitii pentru producerea/stocarea energiei electrice</w:t>
            </w:r>
          </w:p>
        </w:tc>
      </w:tr>
    </w:tbl>
    <w:p w:rsidR="008517EA" w:rsidRPr="00D808BE" w:rsidRDefault="008517EA" w:rsidP="00D808BE">
      <w:pPr>
        <w:jc w:val="both"/>
        <w:rPr>
          <w:rFonts w:ascii="Times New Roman" w:hAnsi="Times New Roman" w:cs="Times New Roman"/>
          <w:sz w:val="24"/>
          <w:szCs w:val="24"/>
        </w:rPr>
      </w:pPr>
      <w:bookmarkStart w:id="0" w:name="_GoBack"/>
      <w:bookmarkEnd w:id="0"/>
    </w:p>
    <w:tbl>
      <w:tblPr>
        <w:tblW w:w="9900" w:type="dxa"/>
        <w:tblLook w:val="04A0" w:firstRow="1" w:lastRow="0" w:firstColumn="1" w:lastColumn="0" w:noHBand="0" w:noVBand="1"/>
      </w:tblPr>
      <w:tblGrid>
        <w:gridCol w:w="9900"/>
      </w:tblGrid>
      <w:tr w:rsidR="008517EA" w:rsidRPr="00D808BE" w:rsidTr="00D808BE">
        <w:trPr>
          <w:trHeight w:val="510"/>
        </w:trPr>
        <w:tc>
          <w:tcPr>
            <w:tcW w:w="9900" w:type="dxa"/>
            <w:tcBorders>
              <w:top w:val="nil"/>
              <w:left w:val="nil"/>
              <w:bottom w:val="nil"/>
              <w:right w:val="nil"/>
            </w:tcBorders>
            <w:shd w:val="clear" w:color="auto" w:fill="auto"/>
            <w:vAlign w:val="bottom"/>
            <w:hideMark/>
          </w:tcPr>
          <w:p w:rsidR="008517EA" w:rsidRPr="00D808BE" w:rsidRDefault="008517EA" w:rsidP="00D808BE">
            <w:pPr>
              <w:spacing w:after="0" w:line="240" w:lineRule="auto"/>
              <w:jc w:val="both"/>
              <w:rPr>
                <w:rFonts w:ascii="Times New Roman" w:eastAsia="Times New Roman" w:hAnsi="Times New Roman" w:cs="Times New Roman"/>
                <w:color w:val="000000"/>
                <w:sz w:val="24"/>
                <w:szCs w:val="24"/>
                <w:lang w:eastAsia="ro-RO"/>
              </w:rPr>
            </w:pPr>
            <w:r w:rsidRPr="00D808BE">
              <w:rPr>
                <w:rFonts w:ascii="Times New Roman" w:eastAsia="Times New Roman" w:hAnsi="Times New Roman" w:cs="Times New Roman"/>
                <w:color w:val="000000"/>
                <w:sz w:val="24"/>
                <w:szCs w:val="24"/>
                <w:lang w:eastAsia="ro-RO"/>
              </w:rPr>
              <w:t>Calculul de eficienta a lucrarilor de investitii pentru producerea/stocarea energiei electrice se face de către operatorul de distribuție concesionar conform prezentei metode de calcul</w:t>
            </w:r>
            <w:r w:rsidR="00D808BE">
              <w:rPr>
                <w:rFonts w:ascii="Times New Roman" w:eastAsia="Times New Roman" w:hAnsi="Times New Roman" w:cs="Times New Roman"/>
                <w:color w:val="000000"/>
                <w:sz w:val="24"/>
                <w:szCs w:val="24"/>
                <w:lang w:eastAsia="ro-RO"/>
              </w:rPr>
              <w:t>.</w:t>
            </w:r>
          </w:p>
        </w:tc>
      </w:tr>
      <w:tr w:rsidR="008517EA" w:rsidRPr="00D808BE" w:rsidTr="00D808BE">
        <w:trPr>
          <w:trHeight w:val="255"/>
        </w:trPr>
        <w:tc>
          <w:tcPr>
            <w:tcW w:w="9900" w:type="dxa"/>
            <w:tcBorders>
              <w:top w:val="nil"/>
              <w:left w:val="nil"/>
              <w:bottom w:val="nil"/>
              <w:right w:val="nil"/>
            </w:tcBorders>
            <w:shd w:val="clear" w:color="auto" w:fill="auto"/>
            <w:noWrap/>
            <w:vAlign w:val="bottom"/>
            <w:hideMark/>
          </w:tcPr>
          <w:p w:rsidR="008517EA" w:rsidRPr="00D808BE" w:rsidRDefault="008517EA" w:rsidP="00D808BE">
            <w:pPr>
              <w:spacing w:after="0" w:line="240" w:lineRule="auto"/>
              <w:jc w:val="both"/>
              <w:rPr>
                <w:rFonts w:ascii="Times New Roman" w:eastAsia="Times New Roman" w:hAnsi="Times New Roman" w:cs="Times New Roman"/>
                <w:color w:val="000000"/>
                <w:sz w:val="24"/>
                <w:szCs w:val="24"/>
                <w:lang w:eastAsia="ro-RO"/>
              </w:rPr>
            </w:pPr>
          </w:p>
        </w:tc>
      </w:tr>
      <w:tr w:rsidR="008517EA" w:rsidRPr="00D808BE" w:rsidTr="00D808BE">
        <w:trPr>
          <w:trHeight w:val="255"/>
        </w:trPr>
        <w:tc>
          <w:tcPr>
            <w:tcW w:w="9900" w:type="dxa"/>
            <w:tcBorders>
              <w:top w:val="nil"/>
              <w:left w:val="nil"/>
              <w:bottom w:val="nil"/>
              <w:right w:val="nil"/>
            </w:tcBorders>
            <w:shd w:val="clear" w:color="auto" w:fill="auto"/>
            <w:noWrap/>
            <w:vAlign w:val="bottom"/>
            <w:hideMark/>
          </w:tcPr>
          <w:p w:rsidR="008517EA" w:rsidRPr="00D808BE" w:rsidRDefault="008517EA" w:rsidP="00D808BE">
            <w:pPr>
              <w:spacing w:after="0" w:line="240" w:lineRule="auto"/>
              <w:jc w:val="both"/>
              <w:rPr>
                <w:rFonts w:ascii="Times New Roman" w:eastAsia="Times New Roman" w:hAnsi="Times New Roman" w:cs="Times New Roman"/>
                <w:b/>
                <w:bCs/>
                <w:color w:val="000000"/>
                <w:sz w:val="24"/>
                <w:szCs w:val="24"/>
                <w:lang w:eastAsia="ro-RO"/>
              </w:rPr>
            </w:pPr>
            <w:r w:rsidRPr="00D808BE">
              <w:rPr>
                <w:rFonts w:ascii="Times New Roman" w:eastAsia="Times New Roman" w:hAnsi="Times New Roman" w:cs="Times New Roman"/>
                <w:b/>
                <w:bCs/>
                <w:color w:val="000000"/>
                <w:sz w:val="24"/>
                <w:szCs w:val="24"/>
                <w:lang w:eastAsia="ro-RO"/>
              </w:rPr>
              <w:t>1. Datele de intrare</w:t>
            </w:r>
          </w:p>
        </w:tc>
      </w:tr>
      <w:tr w:rsidR="008517EA" w:rsidRPr="00D808BE" w:rsidTr="00D808BE">
        <w:trPr>
          <w:trHeight w:val="255"/>
        </w:trPr>
        <w:tc>
          <w:tcPr>
            <w:tcW w:w="9900" w:type="dxa"/>
            <w:tcBorders>
              <w:top w:val="nil"/>
              <w:left w:val="nil"/>
              <w:bottom w:val="nil"/>
              <w:right w:val="nil"/>
            </w:tcBorders>
            <w:shd w:val="clear" w:color="auto" w:fill="auto"/>
            <w:noWrap/>
            <w:vAlign w:val="bottom"/>
            <w:hideMark/>
          </w:tcPr>
          <w:p w:rsidR="008517EA" w:rsidRPr="00D808BE" w:rsidRDefault="008517EA" w:rsidP="00D808BE">
            <w:pPr>
              <w:spacing w:after="0" w:line="240" w:lineRule="auto"/>
              <w:jc w:val="both"/>
              <w:rPr>
                <w:rFonts w:ascii="Times New Roman" w:eastAsia="Times New Roman" w:hAnsi="Times New Roman" w:cs="Times New Roman"/>
                <w:b/>
                <w:bCs/>
                <w:color w:val="000000"/>
                <w:sz w:val="24"/>
                <w:szCs w:val="24"/>
                <w:lang w:eastAsia="ro-RO"/>
              </w:rPr>
            </w:pPr>
          </w:p>
        </w:tc>
      </w:tr>
      <w:tr w:rsidR="008517EA" w:rsidRPr="00D808BE" w:rsidTr="00D808BE">
        <w:trPr>
          <w:trHeight w:val="510"/>
        </w:trPr>
        <w:tc>
          <w:tcPr>
            <w:tcW w:w="9900" w:type="dxa"/>
            <w:tcBorders>
              <w:top w:val="nil"/>
              <w:left w:val="nil"/>
              <w:bottom w:val="nil"/>
              <w:right w:val="nil"/>
            </w:tcBorders>
            <w:shd w:val="clear" w:color="auto" w:fill="auto"/>
            <w:vAlign w:val="bottom"/>
            <w:hideMark/>
          </w:tcPr>
          <w:p w:rsidR="008517EA" w:rsidRPr="00D808BE" w:rsidRDefault="008517EA" w:rsidP="00D808BE">
            <w:pPr>
              <w:spacing w:after="0" w:line="240" w:lineRule="auto"/>
              <w:jc w:val="both"/>
              <w:rPr>
                <w:rFonts w:ascii="Times New Roman" w:eastAsia="Times New Roman" w:hAnsi="Times New Roman" w:cs="Times New Roman"/>
                <w:color w:val="000000"/>
                <w:sz w:val="24"/>
                <w:szCs w:val="24"/>
                <w:lang w:eastAsia="ro-RO"/>
              </w:rPr>
            </w:pPr>
            <w:r w:rsidRPr="00D808BE">
              <w:rPr>
                <w:rFonts w:ascii="Times New Roman" w:eastAsia="Times New Roman" w:hAnsi="Times New Roman" w:cs="Times New Roman"/>
                <w:color w:val="000000"/>
                <w:sz w:val="24"/>
                <w:szCs w:val="24"/>
                <w:lang w:eastAsia="ro-RO"/>
              </w:rPr>
              <w:t>a) valoarea investiției Itotal se stabilește in baza devizului general al lucrarii care se întocmește conform machetei „Devizul general lucrare”</w:t>
            </w:r>
            <w:r w:rsidR="00D808BE">
              <w:rPr>
                <w:rFonts w:ascii="Times New Roman" w:eastAsia="Times New Roman" w:hAnsi="Times New Roman" w:cs="Times New Roman"/>
                <w:color w:val="000000"/>
                <w:sz w:val="24"/>
                <w:szCs w:val="24"/>
                <w:lang w:eastAsia="ro-RO"/>
              </w:rPr>
              <w:t>;</w:t>
            </w:r>
          </w:p>
        </w:tc>
      </w:tr>
      <w:tr w:rsidR="008517EA" w:rsidRPr="00D808BE" w:rsidTr="00D808BE">
        <w:trPr>
          <w:trHeight w:val="510"/>
        </w:trPr>
        <w:tc>
          <w:tcPr>
            <w:tcW w:w="9900" w:type="dxa"/>
            <w:tcBorders>
              <w:top w:val="nil"/>
              <w:left w:val="nil"/>
              <w:bottom w:val="nil"/>
              <w:right w:val="nil"/>
            </w:tcBorders>
            <w:shd w:val="clear" w:color="auto" w:fill="auto"/>
            <w:vAlign w:val="bottom"/>
            <w:hideMark/>
          </w:tcPr>
          <w:p w:rsidR="008517EA" w:rsidRPr="00D808BE" w:rsidRDefault="008517EA" w:rsidP="00D808BE">
            <w:pPr>
              <w:spacing w:after="0" w:line="240" w:lineRule="auto"/>
              <w:jc w:val="both"/>
              <w:rPr>
                <w:rFonts w:ascii="Times New Roman" w:eastAsia="Times New Roman" w:hAnsi="Times New Roman" w:cs="Times New Roman"/>
                <w:color w:val="000000"/>
                <w:sz w:val="24"/>
                <w:szCs w:val="24"/>
                <w:lang w:eastAsia="ro-RO"/>
              </w:rPr>
            </w:pPr>
            <w:r w:rsidRPr="00D808BE">
              <w:rPr>
                <w:rFonts w:ascii="Times New Roman" w:eastAsia="Times New Roman" w:hAnsi="Times New Roman" w:cs="Times New Roman"/>
                <w:color w:val="000000"/>
                <w:sz w:val="24"/>
                <w:szCs w:val="24"/>
                <w:lang w:eastAsia="ro-RO"/>
              </w:rPr>
              <w:t>b) rata de actualizare este egală cu valoarea ratei reglementate a rentabilităţii (RRR), în vigoare pentru anul în care se realizează investiţia</w:t>
            </w:r>
            <w:r w:rsidR="00D808BE">
              <w:rPr>
                <w:rFonts w:ascii="Times New Roman" w:eastAsia="Times New Roman" w:hAnsi="Times New Roman" w:cs="Times New Roman"/>
                <w:color w:val="000000"/>
                <w:sz w:val="24"/>
                <w:szCs w:val="24"/>
                <w:lang w:eastAsia="ro-RO"/>
              </w:rPr>
              <w:t>;</w:t>
            </w:r>
          </w:p>
        </w:tc>
      </w:tr>
      <w:tr w:rsidR="008517EA" w:rsidRPr="00D808BE" w:rsidTr="00D808BE">
        <w:trPr>
          <w:trHeight w:val="255"/>
        </w:trPr>
        <w:tc>
          <w:tcPr>
            <w:tcW w:w="9900" w:type="dxa"/>
            <w:tcBorders>
              <w:top w:val="nil"/>
              <w:left w:val="nil"/>
              <w:bottom w:val="nil"/>
              <w:right w:val="nil"/>
            </w:tcBorders>
            <w:shd w:val="clear" w:color="auto" w:fill="auto"/>
            <w:noWrap/>
            <w:vAlign w:val="bottom"/>
            <w:hideMark/>
          </w:tcPr>
          <w:p w:rsidR="008517EA" w:rsidRPr="00D808BE" w:rsidRDefault="008517EA" w:rsidP="00D808BE">
            <w:pPr>
              <w:spacing w:after="0" w:line="240" w:lineRule="auto"/>
              <w:jc w:val="both"/>
              <w:rPr>
                <w:rFonts w:ascii="Times New Roman" w:eastAsia="Times New Roman" w:hAnsi="Times New Roman" w:cs="Times New Roman"/>
                <w:color w:val="000000"/>
                <w:sz w:val="24"/>
                <w:szCs w:val="24"/>
                <w:lang w:eastAsia="ro-RO"/>
              </w:rPr>
            </w:pPr>
            <w:r w:rsidRPr="00D808BE">
              <w:rPr>
                <w:rFonts w:ascii="Times New Roman" w:eastAsia="Times New Roman" w:hAnsi="Times New Roman" w:cs="Times New Roman"/>
                <w:color w:val="000000"/>
                <w:sz w:val="24"/>
                <w:szCs w:val="24"/>
                <w:lang w:eastAsia="ro-RO"/>
              </w:rPr>
              <w:t>c) impozitul pe profit se consideră egal cu cel aflat în vigoare în anul în care se realizează calculul</w:t>
            </w:r>
            <w:r w:rsidR="00D808BE">
              <w:rPr>
                <w:rFonts w:ascii="Times New Roman" w:eastAsia="Times New Roman" w:hAnsi="Times New Roman" w:cs="Times New Roman"/>
                <w:color w:val="000000"/>
                <w:sz w:val="24"/>
                <w:szCs w:val="24"/>
                <w:lang w:eastAsia="ro-RO"/>
              </w:rPr>
              <w:t>.</w:t>
            </w:r>
            <w:r w:rsidRPr="00D808BE">
              <w:rPr>
                <w:rFonts w:ascii="Times New Roman" w:eastAsia="Times New Roman" w:hAnsi="Times New Roman" w:cs="Times New Roman"/>
                <w:color w:val="000000"/>
                <w:sz w:val="24"/>
                <w:szCs w:val="24"/>
                <w:lang w:eastAsia="ro-RO"/>
              </w:rPr>
              <w:t xml:space="preserve"> </w:t>
            </w:r>
          </w:p>
        </w:tc>
      </w:tr>
      <w:tr w:rsidR="008517EA" w:rsidRPr="00D808BE" w:rsidTr="00D808BE">
        <w:trPr>
          <w:trHeight w:val="255"/>
        </w:trPr>
        <w:tc>
          <w:tcPr>
            <w:tcW w:w="9900" w:type="dxa"/>
            <w:tcBorders>
              <w:top w:val="nil"/>
              <w:left w:val="nil"/>
              <w:bottom w:val="nil"/>
              <w:right w:val="nil"/>
            </w:tcBorders>
            <w:shd w:val="clear" w:color="auto" w:fill="auto"/>
            <w:noWrap/>
            <w:vAlign w:val="bottom"/>
            <w:hideMark/>
          </w:tcPr>
          <w:p w:rsidR="008517EA" w:rsidRPr="00D808BE" w:rsidRDefault="008517EA" w:rsidP="00D808BE">
            <w:pPr>
              <w:spacing w:after="0" w:line="240" w:lineRule="auto"/>
              <w:jc w:val="both"/>
              <w:rPr>
                <w:rFonts w:ascii="Times New Roman" w:eastAsia="Times New Roman" w:hAnsi="Times New Roman" w:cs="Times New Roman"/>
                <w:color w:val="000000"/>
                <w:sz w:val="24"/>
                <w:szCs w:val="24"/>
                <w:lang w:eastAsia="ro-RO"/>
              </w:rPr>
            </w:pPr>
          </w:p>
        </w:tc>
      </w:tr>
      <w:tr w:rsidR="008517EA" w:rsidRPr="00D808BE" w:rsidTr="00D808BE">
        <w:trPr>
          <w:trHeight w:val="510"/>
        </w:trPr>
        <w:tc>
          <w:tcPr>
            <w:tcW w:w="9900" w:type="dxa"/>
            <w:tcBorders>
              <w:top w:val="nil"/>
              <w:left w:val="nil"/>
              <w:bottom w:val="nil"/>
              <w:right w:val="nil"/>
            </w:tcBorders>
            <w:shd w:val="clear" w:color="auto" w:fill="auto"/>
            <w:vAlign w:val="bottom"/>
            <w:hideMark/>
          </w:tcPr>
          <w:p w:rsidR="008517EA" w:rsidRPr="00D808BE" w:rsidRDefault="008517EA" w:rsidP="00D808BE">
            <w:pPr>
              <w:spacing w:after="0" w:line="240" w:lineRule="auto"/>
              <w:jc w:val="both"/>
              <w:rPr>
                <w:rFonts w:ascii="Times New Roman" w:eastAsia="Times New Roman" w:hAnsi="Times New Roman" w:cs="Times New Roman"/>
                <w:b/>
                <w:bCs/>
                <w:color w:val="000000"/>
                <w:sz w:val="24"/>
                <w:szCs w:val="24"/>
                <w:lang w:eastAsia="ro-RO"/>
              </w:rPr>
            </w:pPr>
            <w:r w:rsidRPr="00D808BE">
              <w:rPr>
                <w:rFonts w:ascii="Times New Roman" w:eastAsia="Times New Roman" w:hAnsi="Times New Roman" w:cs="Times New Roman"/>
                <w:b/>
                <w:bCs/>
                <w:color w:val="000000"/>
                <w:sz w:val="24"/>
                <w:szCs w:val="24"/>
                <w:lang w:eastAsia="ro-RO"/>
              </w:rPr>
              <w:t>2. Cheltuielile cu lucrarile de investitii pentru producerea/stocarea energiei electrice se vor calcula conform machetei  „Cheltuieli”, astfel:</w:t>
            </w:r>
          </w:p>
        </w:tc>
      </w:tr>
      <w:tr w:rsidR="008517EA" w:rsidRPr="00D808BE" w:rsidTr="00D808BE">
        <w:trPr>
          <w:trHeight w:val="255"/>
        </w:trPr>
        <w:tc>
          <w:tcPr>
            <w:tcW w:w="9900" w:type="dxa"/>
            <w:tcBorders>
              <w:top w:val="nil"/>
              <w:left w:val="nil"/>
              <w:bottom w:val="nil"/>
              <w:right w:val="nil"/>
            </w:tcBorders>
            <w:shd w:val="clear" w:color="auto" w:fill="auto"/>
            <w:noWrap/>
            <w:vAlign w:val="bottom"/>
            <w:hideMark/>
          </w:tcPr>
          <w:p w:rsidR="008517EA" w:rsidRPr="00D808BE" w:rsidRDefault="008517EA" w:rsidP="00D808BE">
            <w:pPr>
              <w:spacing w:after="0" w:line="240" w:lineRule="auto"/>
              <w:jc w:val="both"/>
              <w:rPr>
                <w:rFonts w:ascii="Times New Roman" w:eastAsia="Times New Roman" w:hAnsi="Times New Roman" w:cs="Times New Roman"/>
                <w:b/>
                <w:bCs/>
                <w:color w:val="000000"/>
                <w:sz w:val="24"/>
                <w:szCs w:val="24"/>
                <w:lang w:eastAsia="ro-RO"/>
              </w:rPr>
            </w:pPr>
          </w:p>
        </w:tc>
      </w:tr>
      <w:tr w:rsidR="008517EA" w:rsidRPr="00D808BE" w:rsidTr="00D808BE">
        <w:trPr>
          <w:trHeight w:val="510"/>
        </w:trPr>
        <w:tc>
          <w:tcPr>
            <w:tcW w:w="9900" w:type="dxa"/>
            <w:tcBorders>
              <w:top w:val="nil"/>
              <w:left w:val="nil"/>
              <w:bottom w:val="nil"/>
              <w:right w:val="nil"/>
            </w:tcBorders>
            <w:shd w:val="clear" w:color="auto" w:fill="auto"/>
            <w:vAlign w:val="bottom"/>
            <w:hideMark/>
          </w:tcPr>
          <w:p w:rsidR="008517EA" w:rsidRPr="00D808BE" w:rsidRDefault="008517EA" w:rsidP="00D808BE">
            <w:pPr>
              <w:spacing w:after="0" w:line="240" w:lineRule="auto"/>
              <w:jc w:val="both"/>
              <w:rPr>
                <w:rFonts w:ascii="Times New Roman" w:eastAsia="Times New Roman" w:hAnsi="Times New Roman" w:cs="Times New Roman"/>
                <w:color w:val="000000"/>
                <w:sz w:val="24"/>
                <w:szCs w:val="24"/>
                <w:lang w:eastAsia="ro-RO"/>
              </w:rPr>
            </w:pPr>
            <w:r w:rsidRPr="00D808BE">
              <w:rPr>
                <w:rFonts w:ascii="Times New Roman" w:eastAsia="Times New Roman" w:hAnsi="Times New Roman" w:cs="Times New Roman"/>
                <w:color w:val="000000"/>
                <w:sz w:val="24"/>
                <w:szCs w:val="24"/>
                <w:lang w:eastAsia="ro-RO"/>
              </w:rPr>
              <w:t>a) durata de analiză este egală cu durata de viaţă economică a investiţiei, determinată prin ponderarea duratelor de viaţă reglementate ale mijloacelor fixe rezultate din lucrarea de investiţii cu valoarea acestora</w:t>
            </w:r>
            <w:r w:rsidR="00D808BE">
              <w:rPr>
                <w:rFonts w:ascii="Times New Roman" w:eastAsia="Times New Roman" w:hAnsi="Times New Roman" w:cs="Times New Roman"/>
                <w:color w:val="000000"/>
                <w:sz w:val="24"/>
                <w:szCs w:val="24"/>
                <w:lang w:eastAsia="ro-RO"/>
              </w:rPr>
              <w:t>;</w:t>
            </w:r>
          </w:p>
        </w:tc>
      </w:tr>
      <w:tr w:rsidR="008517EA" w:rsidRPr="00D808BE" w:rsidTr="00D808BE">
        <w:trPr>
          <w:trHeight w:val="765"/>
        </w:trPr>
        <w:tc>
          <w:tcPr>
            <w:tcW w:w="9900" w:type="dxa"/>
            <w:tcBorders>
              <w:top w:val="nil"/>
              <w:left w:val="nil"/>
              <w:bottom w:val="nil"/>
              <w:right w:val="nil"/>
            </w:tcBorders>
            <w:shd w:val="clear" w:color="auto" w:fill="auto"/>
            <w:vAlign w:val="bottom"/>
            <w:hideMark/>
          </w:tcPr>
          <w:p w:rsidR="008517EA" w:rsidRPr="00D808BE" w:rsidRDefault="008517EA" w:rsidP="00D808BE">
            <w:pPr>
              <w:spacing w:after="0" w:line="240" w:lineRule="auto"/>
              <w:jc w:val="both"/>
              <w:rPr>
                <w:rFonts w:ascii="Times New Roman" w:eastAsia="Times New Roman" w:hAnsi="Times New Roman" w:cs="Times New Roman"/>
                <w:color w:val="000000"/>
                <w:sz w:val="24"/>
                <w:szCs w:val="24"/>
                <w:lang w:eastAsia="ro-RO"/>
              </w:rPr>
            </w:pPr>
            <w:r w:rsidRPr="00D808BE">
              <w:rPr>
                <w:rFonts w:ascii="Times New Roman" w:eastAsia="Times New Roman" w:hAnsi="Times New Roman" w:cs="Times New Roman"/>
                <w:color w:val="000000"/>
                <w:sz w:val="24"/>
                <w:szCs w:val="24"/>
                <w:lang w:eastAsia="ro-RO"/>
              </w:rPr>
              <w:t>b) durata de amortizare a fiecărui mijloc fix se consideră egală cu durata reglementată de amortizare prevăzută în Metodologia de stabilire a tarifelor pentru serviciul de distribuţie a energiei electrice, aprobate prin Ordin al preşedintelui Autorităţii Naţionale de Reglementare în Domeniul Energiei, respectiv in HG nr.2139/2004</w:t>
            </w:r>
            <w:r w:rsidR="00D808BE">
              <w:rPr>
                <w:rFonts w:ascii="Times New Roman" w:eastAsia="Times New Roman" w:hAnsi="Times New Roman" w:cs="Times New Roman"/>
                <w:color w:val="000000"/>
                <w:sz w:val="24"/>
                <w:szCs w:val="24"/>
                <w:lang w:eastAsia="ro-RO"/>
              </w:rPr>
              <w:t>;</w:t>
            </w:r>
          </w:p>
        </w:tc>
      </w:tr>
      <w:tr w:rsidR="008517EA" w:rsidRPr="00D808BE" w:rsidTr="00D808BE">
        <w:trPr>
          <w:trHeight w:val="1275"/>
        </w:trPr>
        <w:tc>
          <w:tcPr>
            <w:tcW w:w="9900" w:type="dxa"/>
            <w:tcBorders>
              <w:top w:val="nil"/>
              <w:left w:val="nil"/>
              <w:bottom w:val="nil"/>
              <w:right w:val="nil"/>
            </w:tcBorders>
            <w:shd w:val="clear" w:color="auto" w:fill="auto"/>
            <w:vAlign w:val="bottom"/>
            <w:hideMark/>
          </w:tcPr>
          <w:p w:rsidR="008517EA" w:rsidRPr="00D808BE" w:rsidRDefault="008517EA" w:rsidP="00D808BE">
            <w:pPr>
              <w:spacing w:after="0" w:line="240" w:lineRule="auto"/>
              <w:jc w:val="both"/>
              <w:rPr>
                <w:rFonts w:ascii="Times New Roman" w:eastAsia="Times New Roman" w:hAnsi="Times New Roman" w:cs="Times New Roman"/>
                <w:color w:val="000000"/>
                <w:sz w:val="24"/>
                <w:szCs w:val="24"/>
                <w:lang w:eastAsia="ro-RO"/>
              </w:rPr>
            </w:pPr>
            <w:r w:rsidRPr="00D808BE">
              <w:rPr>
                <w:rFonts w:ascii="Times New Roman" w:eastAsia="Times New Roman" w:hAnsi="Times New Roman" w:cs="Times New Roman"/>
                <w:color w:val="000000"/>
                <w:sz w:val="24"/>
                <w:szCs w:val="24"/>
                <w:lang w:eastAsia="ro-RO"/>
              </w:rPr>
              <w:t>c) cheltuielile anuale specifice de mentenan</w:t>
            </w:r>
            <w:r w:rsidR="00D808BE">
              <w:rPr>
                <w:rFonts w:ascii="Times New Roman" w:eastAsia="Times New Roman" w:hAnsi="Times New Roman" w:cs="Times New Roman"/>
                <w:color w:val="000000"/>
                <w:sz w:val="24"/>
                <w:szCs w:val="24"/>
                <w:lang w:eastAsia="ro-RO"/>
              </w:rPr>
              <w:t>ță</w:t>
            </w:r>
            <w:r w:rsidRPr="00D808BE">
              <w:rPr>
                <w:rFonts w:ascii="Times New Roman" w:eastAsia="Times New Roman" w:hAnsi="Times New Roman" w:cs="Times New Roman"/>
                <w:color w:val="000000"/>
                <w:sz w:val="24"/>
                <w:szCs w:val="24"/>
                <w:lang w:eastAsia="ro-RO"/>
              </w:rPr>
              <w:t xml:space="preserve"> se consider</w:t>
            </w:r>
            <w:r w:rsidR="00D808BE">
              <w:rPr>
                <w:rFonts w:ascii="Times New Roman" w:eastAsia="Times New Roman" w:hAnsi="Times New Roman" w:cs="Times New Roman"/>
                <w:color w:val="000000"/>
                <w:sz w:val="24"/>
                <w:szCs w:val="24"/>
                <w:lang w:eastAsia="ro-RO"/>
              </w:rPr>
              <w:t>ă</w:t>
            </w:r>
            <w:r w:rsidRPr="00D808BE">
              <w:rPr>
                <w:rFonts w:ascii="Times New Roman" w:eastAsia="Times New Roman" w:hAnsi="Times New Roman" w:cs="Times New Roman"/>
                <w:color w:val="000000"/>
                <w:sz w:val="24"/>
                <w:szCs w:val="24"/>
                <w:lang w:eastAsia="ro-RO"/>
              </w:rPr>
              <w:t xml:space="preserve"> egale cu cheltuielile înregistrate în contabilitatea operatorului </w:t>
            </w:r>
            <w:r w:rsidR="00D808BE">
              <w:rPr>
                <w:rFonts w:ascii="Times New Roman" w:eastAsia="Times New Roman" w:hAnsi="Times New Roman" w:cs="Times New Roman"/>
                <w:color w:val="000000"/>
                <w:sz w:val="24"/>
                <w:szCs w:val="24"/>
                <w:lang w:eastAsia="ro-RO"/>
              </w:rPr>
              <w:t>ș</w:t>
            </w:r>
            <w:r w:rsidRPr="00D808BE">
              <w:rPr>
                <w:rFonts w:ascii="Times New Roman" w:eastAsia="Times New Roman" w:hAnsi="Times New Roman" w:cs="Times New Roman"/>
                <w:color w:val="000000"/>
                <w:sz w:val="24"/>
                <w:szCs w:val="24"/>
                <w:lang w:eastAsia="ro-RO"/>
              </w:rPr>
              <w:t>i raportate la ANRE în anul calendaristic anterior pentru fiecare tip de mijloc fix, iar costurile anuale cu mentenanța se consideră 5% din valoarea cheltuielilor anuale specifice cu mentenan</w:t>
            </w:r>
            <w:r w:rsidR="00D808BE">
              <w:rPr>
                <w:rFonts w:ascii="Times New Roman" w:eastAsia="Times New Roman" w:hAnsi="Times New Roman" w:cs="Times New Roman"/>
                <w:color w:val="000000"/>
                <w:sz w:val="24"/>
                <w:szCs w:val="24"/>
                <w:lang w:eastAsia="ro-RO"/>
              </w:rPr>
              <w:t>ța</w:t>
            </w:r>
            <w:r w:rsidRPr="00D808BE">
              <w:rPr>
                <w:rFonts w:ascii="Times New Roman" w:eastAsia="Times New Roman" w:hAnsi="Times New Roman" w:cs="Times New Roman"/>
                <w:color w:val="000000"/>
                <w:sz w:val="24"/>
                <w:szCs w:val="24"/>
                <w:lang w:eastAsia="ro-RO"/>
              </w:rPr>
              <w:t>, și vor creste anual începând cu anul 6 cu c</w:t>
            </w:r>
            <w:r w:rsidR="00D808BE">
              <w:rPr>
                <w:rFonts w:ascii="Times New Roman" w:eastAsia="Times New Roman" w:hAnsi="Times New Roman" w:cs="Times New Roman"/>
                <w:color w:val="000000"/>
                <w:sz w:val="24"/>
                <w:szCs w:val="24"/>
                <w:lang w:eastAsia="ro-RO"/>
              </w:rPr>
              <w:t>ât</w:t>
            </w:r>
            <w:r w:rsidRPr="00D808BE">
              <w:rPr>
                <w:rFonts w:ascii="Times New Roman" w:eastAsia="Times New Roman" w:hAnsi="Times New Roman" w:cs="Times New Roman"/>
                <w:color w:val="000000"/>
                <w:sz w:val="24"/>
                <w:szCs w:val="24"/>
                <w:lang w:eastAsia="ro-RO"/>
              </w:rPr>
              <w:t xml:space="preserve">e 5 % </w:t>
            </w:r>
            <w:r w:rsidR="00D808BE">
              <w:rPr>
                <w:rFonts w:ascii="Times New Roman" w:eastAsia="Times New Roman" w:hAnsi="Times New Roman" w:cs="Times New Roman"/>
                <w:color w:val="000000"/>
                <w:sz w:val="24"/>
                <w:szCs w:val="24"/>
                <w:lang w:eastAsia="ro-RO"/>
              </w:rPr>
              <w:t>î</w:t>
            </w:r>
            <w:r w:rsidRPr="00D808BE">
              <w:rPr>
                <w:rFonts w:ascii="Times New Roman" w:eastAsia="Times New Roman" w:hAnsi="Times New Roman" w:cs="Times New Roman"/>
                <w:color w:val="000000"/>
                <w:sz w:val="24"/>
                <w:szCs w:val="24"/>
                <w:lang w:eastAsia="ro-RO"/>
              </w:rPr>
              <w:t>n fiecare an, p</w:t>
            </w:r>
            <w:r w:rsidR="00D808BE">
              <w:rPr>
                <w:rFonts w:ascii="Times New Roman" w:eastAsia="Times New Roman" w:hAnsi="Times New Roman" w:cs="Times New Roman"/>
                <w:color w:val="000000"/>
                <w:sz w:val="24"/>
                <w:szCs w:val="24"/>
                <w:lang w:eastAsia="ro-RO"/>
              </w:rPr>
              <w:t>â</w:t>
            </w:r>
            <w:r w:rsidRPr="00D808BE">
              <w:rPr>
                <w:rFonts w:ascii="Times New Roman" w:eastAsia="Times New Roman" w:hAnsi="Times New Roman" w:cs="Times New Roman"/>
                <w:color w:val="000000"/>
                <w:sz w:val="24"/>
                <w:szCs w:val="24"/>
                <w:lang w:eastAsia="ro-RO"/>
              </w:rPr>
              <w:t>n</w:t>
            </w:r>
            <w:r w:rsidR="00D808BE">
              <w:rPr>
                <w:rFonts w:ascii="Times New Roman" w:eastAsia="Times New Roman" w:hAnsi="Times New Roman" w:cs="Times New Roman"/>
                <w:color w:val="000000"/>
                <w:sz w:val="24"/>
                <w:szCs w:val="24"/>
                <w:lang w:eastAsia="ro-RO"/>
              </w:rPr>
              <w:t>ă</w:t>
            </w:r>
            <w:r w:rsidRPr="00D808BE">
              <w:rPr>
                <w:rFonts w:ascii="Times New Roman" w:eastAsia="Times New Roman" w:hAnsi="Times New Roman" w:cs="Times New Roman"/>
                <w:color w:val="000000"/>
                <w:sz w:val="24"/>
                <w:szCs w:val="24"/>
                <w:lang w:eastAsia="ro-RO"/>
              </w:rPr>
              <w:t xml:space="preserve"> la valoarea de 100%, care se p</w:t>
            </w:r>
            <w:r w:rsidR="00D808BE">
              <w:rPr>
                <w:rFonts w:ascii="Times New Roman" w:eastAsia="Times New Roman" w:hAnsi="Times New Roman" w:cs="Times New Roman"/>
                <w:color w:val="000000"/>
                <w:sz w:val="24"/>
                <w:szCs w:val="24"/>
                <w:lang w:eastAsia="ro-RO"/>
              </w:rPr>
              <w:t>ă</w:t>
            </w:r>
            <w:r w:rsidRPr="00D808BE">
              <w:rPr>
                <w:rFonts w:ascii="Times New Roman" w:eastAsia="Times New Roman" w:hAnsi="Times New Roman" w:cs="Times New Roman"/>
                <w:color w:val="000000"/>
                <w:sz w:val="24"/>
                <w:szCs w:val="24"/>
                <w:lang w:eastAsia="ro-RO"/>
              </w:rPr>
              <w:t>streaz</w:t>
            </w:r>
            <w:r w:rsidR="00D808BE">
              <w:rPr>
                <w:rFonts w:ascii="Times New Roman" w:eastAsia="Times New Roman" w:hAnsi="Times New Roman" w:cs="Times New Roman"/>
                <w:color w:val="000000"/>
                <w:sz w:val="24"/>
                <w:szCs w:val="24"/>
                <w:lang w:eastAsia="ro-RO"/>
              </w:rPr>
              <w:t>ă</w:t>
            </w:r>
            <w:r w:rsidRPr="00D808BE">
              <w:rPr>
                <w:rFonts w:ascii="Times New Roman" w:eastAsia="Times New Roman" w:hAnsi="Times New Roman" w:cs="Times New Roman"/>
                <w:color w:val="000000"/>
                <w:sz w:val="24"/>
                <w:szCs w:val="24"/>
                <w:lang w:eastAsia="ro-RO"/>
              </w:rPr>
              <w:t xml:space="preserve"> apoi constant</w:t>
            </w:r>
            <w:r w:rsidR="00D808BE">
              <w:rPr>
                <w:rFonts w:ascii="Times New Roman" w:eastAsia="Times New Roman" w:hAnsi="Times New Roman" w:cs="Times New Roman"/>
                <w:color w:val="000000"/>
                <w:sz w:val="24"/>
                <w:szCs w:val="24"/>
                <w:lang w:eastAsia="ro-RO"/>
              </w:rPr>
              <w:t>ă</w:t>
            </w:r>
            <w:r w:rsidRPr="00D808BE">
              <w:rPr>
                <w:rFonts w:ascii="Times New Roman" w:eastAsia="Times New Roman" w:hAnsi="Times New Roman" w:cs="Times New Roman"/>
                <w:color w:val="000000"/>
                <w:sz w:val="24"/>
                <w:szCs w:val="24"/>
                <w:lang w:eastAsia="ro-RO"/>
              </w:rPr>
              <w:t xml:space="preserve"> pe perioada de analiz</w:t>
            </w:r>
            <w:r w:rsidR="00D808BE">
              <w:rPr>
                <w:rFonts w:ascii="Times New Roman" w:eastAsia="Times New Roman" w:hAnsi="Times New Roman" w:cs="Times New Roman"/>
                <w:color w:val="000000"/>
                <w:sz w:val="24"/>
                <w:szCs w:val="24"/>
                <w:lang w:eastAsia="ro-RO"/>
              </w:rPr>
              <w:t>ă.</w:t>
            </w:r>
            <w:r w:rsidRPr="00D808BE">
              <w:rPr>
                <w:rFonts w:ascii="Times New Roman" w:eastAsia="Times New Roman" w:hAnsi="Times New Roman" w:cs="Times New Roman"/>
                <w:color w:val="000000"/>
                <w:sz w:val="24"/>
                <w:szCs w:val="24"/>
                <w:lang w:eastAsia="ro-RO"/>
              </w:rPr>
              <w:t xml:space="preserve"> </w:t>
            </w:r>
          </w:p>
        </w:tc>
      </w:tr>
      <w:tr w:rsidR="008517EA" w:rsidRPr="00D808BE" w:rsidTr="00D808BE">
        <w:trPr>
          <w:trHeight w:val="765"/>
        </w:trPr>
        <w:tc>
          <w:tcPr>
            <w:tcW w:w="9900" w:type="dxa"/>
            <w:tcBorders>
              <w:top w:val="nil"/>
              <w:left w:val="nil"/>
              <w:bottom w:val="nil"/>
              <w:right w:val="nil"/>
            </w:tcBorders>
            <w:shd w:val="clear" w:color="auto" w:fill="auto"/>
            <w:vAlign w:val="bottom"/>
            <w:hideMark/>
          </w:tcPr>
          <w:p w:rsidR="008517EA" w:rsidRPr="00D808BE" w:rsidRDefault="008517EA" w:rsidP="00D808BE">
            <w:pPr>
              <w:spacing w:after="0" w:line="240" w:lineRule="auto"/>
              <w:jc w:val="both"/>
              <w:rPr>
                <w:rFonts w:ascii="Times New Roman" w:eastAsia="Times New Roman" w:hAnsi="Times New Roman" w:cs="Times New Roman"/>
                <w:color w:val="000000"/>
                <w:sz w:val="24"/>
                <w:szCs w:val="24"/>
                <w:lang w:eastAsia="ro-RO"/>
              </w:rPr>
            </w:pPr>
            <w:r w:rsidRPr="00D808BE">
              <w:rPr>
                <w:rFonts w:ascii="Times New Roman" w:eastAsia="Times New Roman" w:hAnsi="Times New Roman" w:cs="Times New Roman"/>
                <w:color w:val="000000"/>
                <w:sz w:val="24"/>
                <w:szCs w:val="24"/>
                <w:lang w:eastAsia="ro-RO"/>
              </w:rPr>
              <w:t>d) costul cu CPT se consideră egal cu suma costurilor cu pierderile pe elementele de rețea realizate, care se determină pe baza procentului de CPT recunoscut pe fiecare nivel de tensiune și fiecare an al perioadei de reglementare curente și a prețului de achiziție a CPT recunoscut de ANRE în anul anterior.</w:t>
            </w:r>
          </w:p>
        </w:tc>
      </w:tr>
      <w:tr w:rsidR="008517EA" w:rsidRPr="00D808BE" w:rsidTr="00D808BE">
        <w:trPr>
          <w:trHeight w:val="255"/>
        </w:trPr>
        <w:tc>
          <w:tcPr>
            <w:tcW w:w="9900" w:type="dxa"/>
            <w:tcBorders>
              <w:top w:val="nil"/>
              <w:left w:val="nil"/>
              <w:bottom w:val="nil"/>
              <w:right w:val="nil"/>
            </w:tcBorders>
            <w:shd w:val="clear" w:color="auto" w:fill="auto"/>
            <w:vAlign w:val="bottom"/>
            <w:hideMark/>
          </w:tcPr>
          <w:p w:rsidR="008517EA" w:rsidRPr="00D808BE" w:rsidRDefault="008517EA" w:rsidP="00D808BE">
            <w:pPr>
              <w:spacing w:after="0" w:line="240" w:lineRule="auto"/>
              <w:jc w:val="both"/>
              <w:rPr>
                <w:rFonts w:ascii="Times New Roman" w:eastAsia="Times New Roman" w:hAnsi="Times New Roman" w:cs="Times New Roman"/>
                <w:color w:val="000000"/>
                <w:sz w:val="24"/>
                <w:szCs w:val="24"/>
                <w:lang w:eastAsia="ro-RO"/>
              </w:rPr>
            </w:pPr>
          </w:p>
        </w:tc>
      </w:tr>
      <w:tr w:rsidR="008517EA" w:rsidRPr="00D808BE" w:rsidTr="00D808BE">
        <w:trPr>
          <w:trHeight w:val="255"/>
        </w:trPr>
        <w:tc>
          <w:tcPr>
            <w:tcW w:w="9900" w:type="dxa"/>
            <w:tcBorders>
              <w:top w:val="nil"/>
              <w:left w:val="nil"/>
              <w:bottom w:val="nil"/>
              <w:right w:val="nil"/>
            </w:tcBorders>
            <w:shd w:val="clear" w:color="auto" w:fill="auto"/>
            <w:vAlign w:val="bottom"/>
            <w:hideMark/>
          </w:tcPr>
          <w:p w:rsidR="008517EA" w:rsidRPr="00D808BE" w:rsidRDefault="008517EA" w:rsidP="00D808BE">
            <w:pPr>
              <w:spacing w:after="0" w:line="240" w:lineRule="auto"/>
              <w:jc w:val="both"/>
              <w:rPr>
                <w:rFonts w:ascii="Times New Roman" w:eastAsia="Times New Roman" w:hAnsi="Times New Roman" w:cs="Times New Roman"/>
                <w:sz w:val="24"/>
                <w:szCs w:val="24"/>
                <w:lang w:eastAsia="ro-RO"/>
              </w:rPr>
            </w:pPr>
          </w:p>
        </w:tc>
      </w:tr>
      <w:tr w:rsidR="008517EA" w:rsidRPr="00D808BE" w:rsidTr="00D808BE">
        <w:trPr>
          <w:trHeight w:val="255"/>
        </w:trPr>
        <w:tc>
          <w:tcPr>
            <w:tcW w:w="9900" w:type="dxa"/>
            <w:tcBorders>
              <w:top w:val="nil"/>
              <w:left w:val="nil"/>
              <w:bottom w:val="nil"/>
              <w:right w:val="nil"/>
            </w:tcBorders>
            <w:shd w:val="clear" w:color="auto" w:fill="auto"/>
            <w:noWrap/>
            <w:vAlign w:val="bottom"/>
            <w:hideMark/>
          </w:tcPr>
          <w:p w:rsidR="008517EA" w:rsidRPr="00D808BE" w:rsidRDefault="008517EA" w:rsidP="00D808BE">
            <w:pPr>
              <w:spacing w:after="0" w:line="240" w:lineRule="auto"/>
              <w:jc w:val="both"/>
              <w:rPr>
                <w:rFonts w:ascii="Times New Roman" w:eastAsia="Times New Roman" w:hAnsi="Times New Roman" w:cs="Times New Roman"/>
                <w:b/>
                <w:bCs/>
                <w:color w:val="000000"/>
                <w:sz w:val="24"/>
                <w:szCs w:val="24"/>
                <w:lang w:eastAsia="ro-RO"/>
              </w:rPr>
            </w:pPr>
            <w:r w:rsidRPr="00D808BE">
              <w:rPr>
                <w:rFonts w:ascii="Times New Roman" w:eastAsia="Times New Roman" w:hAnsi="Times New Roman" w:cs="Times New Roman"/>
                <w:b/>
                <w:bCs/>
                <w:color w:val="000000"/>
                <w:sz w:val="24"/>
                <w:szCs w:val="24"/>
                <w:lang w:eastAsia="ro-RO"/>
              </w:rPr>
              <w:t>3. Veniturile se calculează conform machetei  „Venituri”, astfel:</w:t>
            </w:r>
          </w:p>
        </w:tc>
      </w:tr>
      <w:tr w:rsidR="008517EA" w:rsidRPr="00D808BE" w:rsidTr="00D808BE">
        <w:trPr>
          <w:trHeight w:val="255"/>
        </w:trPr>
        <w:tc>
          <w:tcPr>
            <w:tcW w:w="9900" w:type="dxa"/>
            <w:tcBorders>
              <w:top w:val="nil"/>
              <w:left w:val="nil"/>
              <w:bottom w:val="nil"/>
              <w:right w:val="nil"/>
            </w:tcBorders>
            <w:shd w:val="clear" w:color="auto" w:fill="auto"/>
            <w:noWrap/>
            <w:vAlign w:val="bottom"/>
            <w:hideMark/>
          </w:tcPr>
          <w:p w:rsidR="008517EA" w:rsidRPr="00D808BE" w:rsidRDefault="008517EA" w:rsidP="00D808BE">
            <w:pPr>
              <w:spacing w:after="0" w:line="240" w:lineRule="auto"/>
              <w:jc w:val="both"/>
              <w:rPr>
                <w:rFonts w:ascii="Times New Roman" w:eastAsia="Times New Roman" w:hAnsi="Times New Roman" w:cs="Times New Roman"/>
                <w:b/>
                <w:bCs/>
                <w:color w:val="000000"/>
                <w:sz w:val="24"/>
                <w:szCs w:val="24"/>
                <w:lang w:eastAsia="ro-RO"/>
              </w:rPr>
            </w:pPr>
          </w:p>
        </w:tc>
      </w:tr>
      <w:tr w:rsidR="008517EA" w:rsidRPr="00D808BE" w:rsidTr="00D808BE">
        <w:trPr>
          <w:trHeight w:val="510"/>
        </w:trPr>
        <w:tc>
          <w:tcPr>
            <w:tcW w:w="9900" w:type="dxa"/>
            <w:tcBorders>
              <w:top w:val="nil"/>
              <w:left w:val="nil"/>
              <w:bottom w:val="nil"/>
              <w:right w:val="nil"/>
            </w:tcBorders>
            <w:shd w:val="clear" w:color="auto" w:fill="auto"/>
            <w:vAlign w:val="bottom"/>
            <w:hideMark/>
          </w:tcPr>
          <w:p w:rsidR="008517EA" w:rsidRPr="00D808BE" w:rsidRDefault="008517EA" w:rsidP="00D808BE">
            <w:pPr>
              <w:spacing w:after="0" w:line="240" w:lineRule="auto"/>
              <w:jc w:val="both"/>
              <w:rPr>
                <w:rFonts w:ascii="Times New Roman" w:eastAsia="Times New Roman" w:hAnsi="Times New Roman" w:cs="Times New Roman"/>
                <w:color w:val="000000"/>
                <w:sz w:val="24"/>
                <w:szCs w:val="24"/>
                <w:lang w:eastAsia="ro-RO"/>
              </w:rPr>
            </w:pPr>
            <w:r w:rsidRPr="00D808BE">
              <w:rPr>
                <w:rFonts w:ascii="Times New Roman" w:eastAsia="Times New Roman" w:hAnsi="Times New Roman" w:cs="Times New Roman"/>
                <w:color w:val="000000"/>
                <w:sz w:val="24"/>
                <w:szCs w:val="24"/>
                <w:lang w:eastAsia="ro-RO"/>
              </w:rPr>
              <w:t>a)  venitul din reducerea/eliminarea costurilor cu energia pentru func</w:t>
            </w:r>
            <w:r w:rsidR="00D808BE">
              <w:rPr>
                <w:rFonts w:ascii="Times New Roman" w:eastAsia="Times New Roman" w:hAnsi="Times New Roman" w:cs="Times New Roman"/>
                <w:color w:val="000000"/>
                <w:sz w:val="24"/>
                <w:szCs w:val="24"/>
                <w:lang w:eastAsia="ro-RO"/>
              </w:rPr>
              <w:t>ț</w:t>
            </w:r>
            <w:r w:rsidRPr="00D808BE">
              <w:rPr>
                <w:rFonts w:ascii="Times New Roman" w:eastAsia="Times New Roman" w:hAnsi="Times New Roman" w:cs="Times New Roman"/>
                <w:color w:val="000000"/>
                <w:sz w:val="24"/>
                <w:szCs w:val="24"/>
                <w:lang w:eastAsia="ro-RO"/>
              </w:rPr>
              <w:t>ionarea serviciilor proprii (energie pentru cpt neachizi</w:t>
            </w:r>
            <w:r w:rsidR="00D808BE">
              <w:rPr>
                <w:rFonts w:ascii="Times New Roman" w:eastAsia="Times New Roman" w:hAnsi="Times New Roman" w:cs="Times New Roman"/>
                <w:color w:val="000000"/>
                <w:sz w:val="24"/>
                <w:szCs w:val="24"/>
                <w:lang w:eastAsia="ro-RO"/>
              </w:rPr>
              <w:t>ț</w:t>
            </w:r>
            <w:r w:rsidRPr="00D808BE">
              <w:rPr>
                <w:rFonts w:ascii="Times New Roman" w:eastAsia="Times New Roman" w:hAnsi="Times New Roman" w:cs="Times New Roman"/>
                <w:color w:val="000000"/>
                <w:sz w:val="24"/>
                <w:szCs w:val="24"/>
                <w:lang w:eastAsia="ro-RO"/>
              </w:rPr>
              <w:t>ionat</w:t>
            </w:r>
            <w:r w:rsidR="00D808BE">
              <w:rPr>
                <w:rFonts w:ascii="Times New Roman" w:eastAsia="Times New Roman" w:hAnsi="Times New Roman" w:cs="Times New Roman"/>
                <w:color w:val="000000"/>
                <w:sz w:val="24"/>
                <w:szCs w:val="24"/>
                <w:lang w:eastAsia="ro-RO"/>
              </w:rPr>
              <w:t>ă</w:t>
            </w:r>
            <w:r w:rsidRPr="00D808BE">
              <w:rPr>
                <w:rFonts w:ascii="Times New Roman" w:eastAsia="Times New Roman" w:hAnsi="Times New Roman" w:cs="Times New Roman"/>
                <w:color w:val="000000"/>
                <w:sz w:val="24"/>
                <w:szCs w:val="24"/>
                <w:lang w:eastAsia="ro-RO"/>
              </w:rPr>
              <w:t>)</w:t>
            </w:r>
          </w:p>
        </w:tc>
      </w:tr>
      <w:tr w:rsidR="008517EA" w:rsidRPr="00D808BE" w:rsidTr="00D808BE">
        <w:trPr>
          <w:trHeight w:val="255"/>
        </w:trPr>
        <w:tc>
          <w:tcPr>
            <w:tcW w:w="9900" w:type="dxa"/>
            <w:tcBorders>
              <w:top w:val="nil"/>
              <w:left w:val="nil"/>
              <w:bottom w:val="nil"/>
              <w:right w:val="nil"/>
            </w:tcBorders>
            <w:shd w:val="clear" w:color="auto" w:fill="auto"/>
            <w:noWrap/>
            <w:vAlign w:val="bottom"/>
            <w:hideMark/>
          </w:tcPr>
          <w:p w:rsidR="008517EA" w:rsidRPr="00D808BE" w:rsidRDefault="008517EA" w:rsidP="00D808BE">
            <w:pPr>
              <w:spacing w:after="0" w:line="240" w:lineRule="auto"/>
              <w:jc w:val="both"/>
              <w:rPr>
                <w:rFonts w:ascii="Times New Roman" w:eastAsia="Times New Roman" w:hAnsi="Times New Roman" w:cs="Times New Roman"/>
                <w:color w:val="000000"/>
                <w:sz w:val="24"/>
                <w:szCs w:val="24"/>
                <w:lang w:eastAsia="ro-RO"/>
              </w:rPr>
            </w:pPr>
          </w:p>
        </w:tc>
      </w:tr>
      <w:tr w:rsidR="008517EA" w:rsidRPr="00D808BE" w:rsidTr="00D808BE">
        <w:trPr>
          <w:trHeight w:val="255"/>
        </w:trPr>
        <w:tc>
          <w:tcPr>
            <w:tcW w:w="9900" w:type="dxa"/>
            <w:tcBorders>
              <w:top w:val="nil"/>
              <w:left w:val="nil"/>
              <w:bottom w:val="nil"/>
              <w:right w:val="nil"/>
            </w:tcBorders>
            <w:shd w:val="clear" w:color="auto" w:fill="auto"/>
            <w:noWrap/>
            <w:vAlign w:val="bottom"/>
            <w:hideMark/>
          </w:tcPr>
          <w:p w:rsidR="008517EA" w:rsidRPr="00D808BE" w:rsidRDefault="008517EA" w:rsidP="00D808BE">
            <w:pPr>
              <w:spacing w:after="0" w:line="240" w:lineRule="auto"/>
              <w:jc w:val="both"/>
              <w:rPr>
                <w:rFonts w:ascii="Times New Roman" w:eastAsia="Times New Roman" w:hAnsi="Times New Roman" w:cs="Times New Roman"/>
                <w:sz w:val="24"/>
                <w:szCs w:val="24"/>
                <w:lang w:eastAsia="ro-RO"/>
              </w:rPr>
            </w:pPr>
          </w:p>
        </w:tc>
      </w:tr>
      <w:tr w:rsidR="008517EA" w:rsidRPr="00D808BE" w:rsidTr="00D808BE">
        <w:trPr>
          <w:trHeight w:val="255"/>
        </w:trPr>
        <w:tc>
          <w:tcPr>
            <w:tcW w:w="9900" w:type="dxa"/>
            <w:tcBorders>
              <w:top w:val="nil"/>
              <w:left w:val="nil"/>
              <w:bottom w:val="nil"/>
              <w:right w:val="nil"/>
            </w:tcBorders>
            <w:shd w:val="clear" w:color="auto" w:fill="auto"/>
            <w:noWrap/>
            <w:vAlign w:val="bottom"/>
            <w:hideMark/>
          </w:tcPr>
          <w:p w:rsidR="008517EA" w:rsidRPr="00D808BE" w:rsidRDefault="008517EA" w:rsidP="00D808BE">
            <w:pPr>
              <w:spacing w:after="0" w:line="240" w:lineRule="auto"/>
              <w:jc w:val="both"/>
              <w:rPr>
                <w:rFonts w:ascii="Times New Roman" w:eastAsia="Times New Roman" w:hAnsi="Times New Roman" w:cs="Times New Roman"/>
                <w:b/>
                <w:bCs/>
                <w:color w:val="000000"/>
                <w:sz w:val="24"/>
                <w:szCs w:val="24"/>
                <w:lang w:eastAsia="ro-RO"/>
              </w:rPr>
            </w:pPr>
            <w:r w:rsidRPr="00D808BE">
              <w:rPr>
                <w:rFonts w:ascii="Times New Roman" w:eastAsia="Times New Roman" w:hAnsi="Times New Roman" w:cs="Times New Roman"/>
                <w:b/>
                <w:bCs/>
                <w:color w:val="000000"/>
                <w:sz w:val="24"/>
                <w:szCs w:val="24"/>
                <w:lang w:eastAsia="ro-RO"/>
              </w:rPr>
              <w:t>4. Calculul de eficien</w:t>
            </w:r>
            <w:r w:rsidR="00D808BE">
              <w:rPr>
                <w:rFonts w:ascii="Times New Roman" w:eastAsia="Times New Roman" w:hAnsi="Times New Roman" w:cs="Times New Roman"/>
                <w:b/>
                <w:bCs/>
                <w:color w:val="000000"/>
                <w:sz w:val="24"/>
                <w:szCs w:val="24"/>
                <w:lang w:eastAsia="ro-RO"/>
              </w:rPr>
              <w:t>ță</w:t>
            </w:r>
            <w:r w:rsidRPr="00D808BE">
              <w:rPr>
                <w:rFonts w:ascii="Times New Roman" w:eastAsia="Times New Roman" w:hAnsi="Times New Roman" w:cs="Times New Roman"/>
                <w:b/>
                <w:bCs/>
                <w:color w:val="000000"/>
                <w:sz w:val="24"/>
                <w:szCs w:val="24"/>
                <w:lang w:eastAsia="ro-RO"/>
              </w:rPr>
              <w:t xml:space="preserve"> se realizează conform machetei  “Calcul de eficient</w:t>
            </w:r>
            <w:r w:rsidR="00D808BE">
              <w:rPr>
                <w:rFonts w:ascii="Times New Roman" w:eastAsia="Times New Roman" w:hAnsi="Times New Roman" w:cs="Times New Roman"/>
                <w:b/>
                <w:bCs/>
                <w:color w:val="000000"/>
                <w:sz w:val="24"/>
                <w:szCs w:val="24"/>
                <w:lang w:eastAsia="ro-RO"/>
              </w:rPr>
              <w:t>ță</w:t>
            </w:r>
            <w:r w:rsidRPr="00D808BE">
              <w:rPr>
                <w:rFonts w:ascii="Times New Roman" w:eastAsia="Times New Roman" w:hAnsi="Times New Roman" w:cs="Times New Roman"/>
                <w:b/>
                <w:bCs/>
                <w:color w:val="000000"/>
                <w:sz w:val="24"/>
                <w:szCs w:val="24"/>
                <w:lang w:eastAsia="ro-RO"/>
              </w:rPr>
              <w:t xml:space="preserve">”, </w:t>
            </w:r>
            <w:r w:rsidR="00D808BE">
              <w:rPr>
                <w:rFonts w:ascii="Times New Roman" w:eastAsia="Times New Roman" w:hAnsi="Times New Roman" w:cs="Times New Roman"/>
                <w:b/>
                <w:bCs/>
                <w:color w:val="000000"/>
                <w:sz w:val="24"/>
                <w:szCs w:val="24"/>
                <w:lang w:eastAsia="ro-RO"/>
              </w:rPr>
              <w:t>î</w:t>
            </w:r>
            <w:r w:rsidRPr="00D808BE">
              <w:rPr>
                <w:rFonts w:ascii="Times New Roman" w:eastAsia="Times New Roman" w:hAnsi="Times New Roman" w:cs="Times New Roman"/>
                <w:b/>
                <w:bCs/>
                <w:color w:val="000000"/>
                <w:sz w:val="24"/>
                <w:szCs w:val="24"/>
                <w:lang w:eastAsia="ro-RO"/>
              </w:rPr>
              <w:t>n care:</w:t>
            </w:r>
          </w:p>
        </w:tc>
      </w:tr>
      <w:tr w:rsidR="008517EA" w:rsidRPr="00D808BE" w:rsidTr="00D808BE">
        <w:trPr>
          <w:trHeight w:val="255"/>
        </w:trPr>
        <w:tc>
          <w:tcPr>
            <w:tcW w:w="9900" w:type="dxa"/>
            <w:tcBorders>
              <w:top w:val="nil"/>
              <w:left w:val="nil"/>
              <w:bottom w:val="nil"/>
              <w:right w:val="nil"/>
            </w:tcBorders>
            <w:shd w:val="clear" w:color="auto" w:fill="auto"/>
            <w:noWrap/>
            <w:vAlign w:val="bottom"/>
            <w:hideMark/>
          </w:tcPr>
          <w:p w:rsidR="008517EA" w:rsidRPr="00D808BE" w:rsidRDefault="008517EA" w:rsidP="00D808BE">
            <w:pPr>
              <w:spacing w:after="0" w:line="240" w:lineRule="auto"/>
              <w:jc w:val="both"/>
              <w:rPr>
                <w:rFonts w:ascii="Times New Roman" w:eastAsia="Times New Roman" w:hAnsi="Times New Roman" w:cs="Times New Roman"/>
                <w:b/>
                <w:bCs/>
                <w:color w:val="000000"/>
                <w:sz w:val="24"/>
                <w:szCs w:val="24"/>
                <w:lang w:eastAsia="ro-RO"/>
              </w:rPr>
            </w:pPr>
          </w:p>
        </w:tc>
      </w:tr>
      <w:tr w:rsidR="008517EA" w:rsidRPr="00D808BE" w:rsidTr="00D808BE">
        <w:trPr>
          <w:trHeight w:val="255"/>
        </w:trPr>
        <w:tc>
          <w:tcPr>
            <w:tcW w:w="9900" w:type="dxa"/>
            <w:tcBorders>
              <w:top w:val="nil"/>
              <w:left w:val="nil"/>
              <w:bottom w:val="nil"/>
              <w:right w:val="nil"/>
            </w:tcBorders>
            <w:shd w:val="clear" w:color="auto" w:fill="auto"/>
            <w:noWrap/>
            <w:vAlign w:val="bottom"/>
            <w:hideMark/>
          </w:tcPr>
          <w:p w:rsidR="008517EA" w:rsidRPr="00D808BE" w:rsidRDefault="008517EA" w:rsidP="00D808BE">
            <w:pPr>
              <w:spacing w:after="0" w:line="240" w:lineRule="auto"/>
              <w:jc w:val="both"/>
              <w:rPr>
                <w:rFonts w:ascii="Times New Roman" w:eastAsia="Times New Roman" w:hAnsi="Times New Roman" w:cs="Times New Roman"/>
                <w:color w:val="000000"/>
                <w:sz w:val="24"/>
                <w:szCs w:val="24"/>
                <w:lang w:eastAsia="ro-RO"/>
              </w:rPr>
            </w:pPr>
            <w:r w:rsidRPr="00D808BE">
              <w:rPr>
                <w:rFonts w:ascii="Times New Roman" w:eastAsia="Times New Roman" w:hAnsi="Times New Roman" w:cs="Times New Roman"/>
                <w:color w:val="000000"/>
                <w:sz w:val="24"/>
                <w:szCs w:val="24"/>
                <w:lang w:eastAsia="ro-RO"/>
              </w:rPr>
              <w:t xml:space="preserve"> indicatorii EBITDA, EBIT, VAN, IRR, DRI se calculeaz</w:t>
            </w:r>
            <w:r w:rsidR="00D808BE">
              <w:rPr>
                <w:rFonts w:ascii="Times New Roman" w:eastAsia="Times New Roman" w:hAnsi="Times New Roman" w:cs="Times New Roman"/>
                <w:color w:val="000000"/>
                <w:sz w:val="24"/>
                <w:szCs w:val="24"/>
                <w:lang w:eastAsia="ro-RO"/>
              </w:rPr>
              <w:t>ă</w:t>
            </w:r>
            <w:r w:rsidRPr="00D808BE">
              <w:rPr>
                <w:rFonts w:ascii="Times New Roman" w:eastAsia="Times New Roman" w:hAnsi="Times New Roman" w:cs="Times New Roman"/>
                <w:color w:val="000000"/>
                <w:sz w:val="24"/>
                <w:szCs w:val="24"/>
                <w:lang w:eastAsia="ro-RO"/>
              </w:rPr>
              <w:t xml:space="preserve"> conform formulelor din machet</w:t>
            </w:r>
            <w:r w:rsidR="00D808BE">
              <w:rPr>
                <w:rFonts w:ascii="Times New Roman" w:eastAsia="Times New Roman" w:hAnsi="Times New Roman" w:cs="Times New Roman"/>
                <w:color w:val="000000"/>
                <w:sz w:val="24"/>
                <w:szCs w:val="24"/>
                <w:lang w:eastAsia="ro-RO"/>
              </w:rPr>
              <w:t>ă</w:t>
            </w:r>
            <w:r w:rsidRPr="00D808BE">
              <w:rPr>
                <w:rFonts w:ascii="Times New Roman" w:eastAsia="Times New Roman" w:hAnsi="Times New Roman" w:cs="Times New Roman"/>
                <w:color w:val="000000"/>
                <w:sz w:val="24"/>
                <w:szCs w:val="24"/>
                <w:lang w:eastAsia="ro-RO"/>
              </w:rPr>
              <w:t>.</w:t>
            </w:r>
          </w:p>
        </w:tc>
      </w:tr>
    </w:tbl>
    <w:p w:rsidR="00E67085" w:rsidRPr="00D808BE" w:rsidRDefault="00E67085" w:rsidP="00D808BE">
      <w:pPr>
        <w:jc w:val="both"/>
        <w:rPr>
          <w:rFonts w:ascii="Times New Roman" w:hAnsi="Times New Roman" w:cs="Times New Roman"/>
          <w:sz w:val="24"/>
          <w:szCs w:val="24"/>
        </w:rPr>
      </w:pPr>
    </w:p>
    <w:sectPr w:rsidR="00E67085" w:rsidRPr="00D808BE" w:rsidSect="003525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7EA"/>
    <w:rsid w:val="003525AF"/>
    <w:rsid w:val="00397CDB"/>
    <w:rsid w:val="008517EA"/>
    <w:rsid w:val="00D808BE"/>
    <w:rsid w:val="00E67085"/>
    <w:rsid w:val="00EC585B"/>
    <w:rsid w:val="00F233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69086"/>
  <w15:chartTrackingRefBased/>
  <w15:docId w15:val="{1CA05E29-2B12-47E9-825E-0ABBE6A72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2300">
      <w:bodyDiv w:val="1"/>
      <w:marLeft w:val="0"/>
      <w:marRight w:val="0"/>
      <w:marTop w:val="0"/>
      <w:marBottom w:val="0"/>
      <w:divBdr>
        <w:top w:val="none" w:sz="0" w:space="0" w:color="auto"/>
        <w:left w:val="none" w:sz="0" w:space="0" w:color="auto"/>
        <w:bottom w:val="none" w:sz="0" w:space="0" w:color="auto"/>
        <w:right w:val="none" w:sz="0" w:space="0" w:color="auto"/>
      </w:divBdr>
    </w:div>
    <w:div w:id="40076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cp:lastPrinted>2022-10-17T08:39:00Z</cp:lastPrinted>
  <dcterms:created xsi:type="dcterms:W3CDTF">2022-10-17T08:36:00Z</dcterms:created>
  <dcterms:modified xsi:type="dcterms:W3CDTF">2022-10-17T08:39:00Z</dcterms:modified>
</cp:coreProperties>
</file>